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  <w:r w:rsidR="00463F9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aprilie 2017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545"/>
        <w:gridCol w:w="2236"/>
        <w:gridCol w:w="1512"/>
        <w:gridCol w:w="2028"/>
      </w:tblGrid>
      <w:tr w:rsidR="00FB7358" w:rsidTr="00456F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</w:t>
            </w:r>
          </w:p>
        </w:tc>
      </w:tr>
      <w:tr w:rsidR="00FB7358" w:rsidTr="00456F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1.2.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Transparenţa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procesului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educaţional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-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P,CA,CE,CRP ș.a.</w:t>
      </w:r>
    </w:p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Indicator de performanță: M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embrii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Consiliilor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implicaţi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examinarea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subiectelor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elaborareadeciziilor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acţiunilor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ameliorare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7358" w:rsidRDefault="00FB7358" w:rsidP="00FB735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I.Probleme pentru examinare la şedinţele  Consiliului de Administraţie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029"/>
        <w:gridCol w:w="1582"/>
        <w:gridCol w:w="1274"/>
        <w:gridCol w:w="1951"/>
      </w:tblGrid>
      <w:tr w:rsidR="00FB7358" w:rsidRPr="0035639E" w:rsidTr="00456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Ședința nr.9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Aprobarea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Raportului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privind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modul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pregătire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clasei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 IX-a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vederea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susținerii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examenelor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absolvire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Raportul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Comisiei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prevenire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combatere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violenței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mediul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școlar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3.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frontală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Modalităţi de formare a atitudinilor elevilor în cadrul orelor de educaţie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muzicală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cl.I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-VIII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4.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frontală:Pregătirea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cl.a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IV-a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către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naţională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; 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5.Cu privire la desfăşurarea lunarului ecologic.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Centrul metodic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27</w:t>
            </w:r>
            <w:r w:rsid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Ech.man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Comisiile  de  evaluare</w:t>
            </w: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</w:t>
      </w:r>
    </w:p>
    <w:p w:rsidR="00FB7358" w:rsidRDefault="00FB7358" w:rsidP="00FB73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FB7358" w:rsidRDefault="00FB7358" w:rsidP="00FB73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Activitatea managerială de verificare, îndrumare </w:t>
      </w:r>
      <w:r>
        <w:rPr>
          <w:rFonts w:ascii="Times New Roman" w:eastAsia="Times New Roman" w:hAnsi="Times New Roman" w:cs="Mangal"/>
          <w:b/>
          <w:bCs/>
          <w:sz w:val="28"/>
          <w:szCs w:val="28"/>
          <w:lang w:val="ro-RO" w:eastAsia="ru-RU" w:bidi="ne-IN"/>
        </w:rPr>
        <w:t>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 analiză a procesului educa</w:t>
      </w:r>
      <w:r>
        <w:rPr>
          <w:rFonts w:ascii="Times New Roman" w:eastAsia="Times New Roman" w:hAnsi="Times New Roman" w:cs="Mangal"/>
          <w:b/>
          <w:bCs/>
          <w:sz w:val="28"/>
          <w:szCs w:val="28"/>
          <w:lang w:val="ro-RO" w:eastAsia="ru-RU" w:bidi="ne-IN"/>
        </w:rPr>
        <w:t>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ional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operațional: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Asigurarea formării şi dezvoltării competenţelor elevilor pentru a se încadra în societate ca personalitate liberă şi creatoare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Obiectiv operațional: Creşterea calităţii resurselor umane în vederea indeplinirii scopurilor educaţionale propuse 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Creşterea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performanțelor,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promovabilităţii elevilor la examenele de absolvire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ab/>
      </w:r>
    </w:p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1073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2"/>
        <w:gridCol w:w="5621"/>
        <w:gridCol w:w="1380"/>
        <w:gridCol w:w="1380"/>
        <w:gridCol w:w="1664"/>
      </w:tblGrid>
      <w:tr w:rsidR="00FB7358" w:rsidTr="00456F69">
        <w:trPr>
          <w:trHeight w:val="5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lastRenderedPageBreak/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d/o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Activităţi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Locul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Data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Responsabil</w:t>
            </w:r>
          </w:p>
        </w:tc>
      </w:tr>
      <w:tr w:rsidR="00FB7358" w:rsidTr="00456F69">
        <w:trPr>
          <w:trHeight w:val="28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5</w:t>
            </w:r>
          </w:p>
        </w:tc>
      </w:tr>
      <w:tr w:rsidR="00FB7358" w:rsidTr="00456F69">
        <w:trPr>
          <w:trHeight w:val="106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E1" w:rsidRPr="00D170E1" w:rsidRDefault="00D170E1" w:rsidP="00D1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frontală:Pregătirea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elevilor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cl.a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IV-a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către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naţională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,elevilor cl.a IX-a către absolvirea gimnaziului</w:t>
            </w:r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FB7358" w:rsidRPr="00E86C1D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E86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03-14</w:t>
            </w:r>
            <w:r w:rsidR="00D170E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Comisia  de  evaluare</w:t>
            </w:r>
          </w:p>
        </w:tc>
      </w:tr>
      <w:tr w:rsidR="00FB7358" w:rsidTr="00456F69">
        <w:trPr>
          <w:trHeight w:val="106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E1" w:rsidRPr="00D170E1" w:rsidRDefault="00FB7358" w:rsidP="00D170E1">
            <w:pPr>
              <w:rPr>
                <w:b/>
                <w:bCs/>
                <w:sz w:val="28"/>
                <w:szCs w:val="28"/>
                <w:lang w:val="en-US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 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Evaluare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frontală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:</w:t>
            </w:r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vi-VN" w:bidi="ne-IN"/>
              </w:rPr>
              <w:t xml:space="preserve">Modalităţi de formare a atitudinilor elevilor în cadrul orelor de educaţie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muzicală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cl.I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-VIII</w:t>
            </w:r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vi-VN" w:bidi="ne-IN"/>
              </w:rPr>
              <w:tab/>
            </w:r>
          </w:p>
          <w:p w:rsidR="00D170E1" w:rsidRDefault="00D170E1" w:rsidP="00D1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35639E" w:rsidRDefault="009E3F9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03-14</w:t>
            </w:r>
            <w:r w:rsidR="00D170E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Comisiile de evaluare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Incluziunea  școlară</w:t>
      </w:r>
    </w:p>
    <w:tbl>
      <w:tblPr>
        <w:tblW w:w="1058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2"/>
        <w:gridCol w:w="5548"/>
        <w:gridCol w:w="1362"/>
        <w:gridCol w:w="1361"/>
        <w:gridCol w:w="1634"/>
      </w:tblGrid>
      <w:tr w:rsidR="00FB7358" w:rsidTr="00456F69">
        <w:trPr>
          <w:trHeight w:val="8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Atelier 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reprezentanții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SAP</w:t>
            </w:r>
          </w:p>
          <w:p w:rsidR="00D170E1" w:rsidRPr="0035639E" w:rsidRDefault="00D170E1" w:rsidP="00D1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pedagogică</w:t>
            </w:r>
            <w:proofErr w:type="spellEnd"/>
            <w:r w:rsidRPr="00356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D170E1" w:rsidRDefault="00D170E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metodic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35639E" w:rsidRDefault="009E3F9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SAP  Orhei</w:t>
            </w:r>
          </w:p>
          <w:p w:rsidR="00FB7358" w:rsidRDefault="00D170E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Cadrele didactice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Ateliere didactice, seminare teoretico-practice cu cadrele didactice</w:t>
      </w:r>
    </w:p>
    <w:p w:rsidR="00FB7358" w:rsidRDefault="00FB7358" w:rsidP="00FB7358">
      <w:pPr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Obiectiv</w:t>
      </w:r>
      <w:proofErr w:type="spellEnd"/>
      <w:r>
        <w:rPr>
          <w:b/>
          <w:i/>
          <w:sz w:val="28"/>
          <w:szCs w:val="28"/>
          <w:lang w:val="en-US"/>
        </w:rPr>
        <w:t xml:space="preserve"> general: </w:t>
      </w:r>
      <w:proofErr w:type="spellStart"/>
      <w:r>
        <w:rPr>
          <w:b/>
          <w:i/>
          <w:sz w:val="28"/>
          <w:szCs w:val="28"/>
          <w:lang w:val="en-US"/>
        </w:rPr>
        <w:t>Eficientizarea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şi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flexibilitatea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sistemului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formare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a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acadrelor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didactice</w:t>
      </w:r>
      <w:proofErr w:type="spellEnd"/>
      <w:r>
        <w:rPr>
          <w:b/>
          <w:i/>
          <w:sz w:val="28"/>
          <w:szCs w:val="28"/>
          <w:lang w:val="en-US"/>
        </w:rPr>
        <w:t xml:space="preserve">, managerial </w:t>
      </w:r>
      <w:proofErr w:type="spellStart"/>
      <w:r>
        <w:rPr>
          <w:b/>
          <w:i/>
          <w:sz w:val="28"/>
          <w:szCs w:val="28"/>
          <w:lang w:val="en-US"/>
        </w:rPr>
        <w:t>prin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elaborarea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implementarea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proiectelor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dezvoltare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instituţională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şi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învederea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promovării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politicilor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educaţionale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naţionale</w:t>
      </w:r>
      <w:proofErr w:type="spellEnd"/>
      <w:r>
        <w:rPr>
          <w:b/>
          <w:i/>
          <w:sz w:val="28"/>
          <w:szCs w:val="28"/>
          <w:lang w:val="en-US"/>
        </w:rPr>
        <w:t>, locale</w:t>
      </w:r>
    </w:p>
    <w:p w:rsidR="00FB7358" w:rsidRDefault="00FB7358" w:rsidP="00FB7358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Obiectivele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operaționale:1Organizarea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încadrul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activităţii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catedrei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schimbului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experienţă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între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cadrele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parcursul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anului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învăţămînt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avînd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obiectiv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perfecţionarea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măiestriei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pedagogice.2.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Proiectul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didactic al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lecției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elaborate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baza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diverselor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modele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existente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acceptate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literatura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specialitate.3.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Activitățiledidactice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disciplină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încadrul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ților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educaționale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ficoncepute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din perspective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demersului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educaţional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axat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formarea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dezvoltarea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899"/>
        <w:gridCol w:w="1445"/>
        <w:gridCol w:w="1575"/>
        <w:gridCol w:w="1295"/>
      </w:tblGrid>
      <w:tr w:rsidR="00FB7358" w:rsidTr="00456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d/o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Activităţi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Locul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Data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Responsabil</w:t>
            </w:r>
          </w:p>
        </w:tc>
      </w:tr>
      <w:tr w:rsidR="00FB7358" w:rsidTr="00456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5</w:t>
            </w:r>
          </w:p>
        </w:tc>
      </w:tr>
      <w:tr w:rsidR="00FB7358" w:rsidTr="00456F69">
        <w:trPr>
          <w:trHeight w:val="1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E1" w:rsidRPr="00344130" w:rsidRDefault="00FB7358" w:rsidP="00D170E1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Ședință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7358" w:rsidRDefault="00D170E1" w:rsidP="00D170E1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1.Autoevaluarea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didactice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conform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standardelor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profesionale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25 a</w:t>
            </w:r>
            <w:r w:rsidR="00D170E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Ceban V.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Cadrele  didactice</w:t>
            </w:r>
          </w:p>
        </w:tc>
      </w:tr>
      <w:tr w:rsidR="00FB7358" w:rsidRPr="0062706C" w:rsidTr="009E3F91">
        <w:trPr>
          <w:trHeight w:val="31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lastRenderedPageBreak/>
              <w:t>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cadrelor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</w:p>
          <w:p w:rsidR="00D170E1" w:rsidRPr="00D170E1" w:rsidRDefault="00D170E1" w:rsidP="00D170E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70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Atelier de  </w:t>
            </w:r>
            <w:proofErr w:type="spellStart"/>
            <w:r w:rsidRPr="00D170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creație</w:t>
            </w:r>
            <w:proofErr w:type="spellEnd"/>
          </w:p>
          <w:p w:rsidR="00D170E1" w:rsidRPr="00344130" w:rsidRDefault="00D170E1" w:rsidP="00D170E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70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Cartea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mea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preferată</w:t>
            </w:r>
            <w:proofErr w:type="spellEnd"/>
            <w:proofErr w:type="gram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pasiunea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mea (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Hoby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mă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face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să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devin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un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bun.</w:t>
            </w:r>
          </w:p>
          <w:p w:rsidR="00FB7358" w:rsidRDefault="00FB7358" w:rsidP="00D170E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</w:t>
            </w:r>
            <w:r w:rsidR="009E3F9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6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Profesori pe  disciplini</w:t>
            </w:r>
          </w:p>
        </w:tc>
      </w:tr>
      <w:tr w:rsidR="00FB7358" w:rsidTr="00456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tinerilor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specialist      </w:t>
            </w:r>
          </w:p>
          <w:p w:rsidR="00FB7358" w:rsidRPr="00E86C1D" w:rsidRDefault="0010441A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Autoevaluarea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cadrului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didactic   conform 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standardelor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de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competență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profesională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62706C" w:rsidRDefault="00FB7358" w:rsidP="00456F69">
            <w:pPr>
              <w:spacing w:after="0"/>
              <w:rPr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13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Godea D.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Ceban N.</w:t>
            </w:r>
          </w:p>
        </w:tc>
      </w:tr>
      <w:tr w:rsidR="00FB7358" w:rsidRPr="0035639E" w:rsidTr="0010441A">
        <w:trPr>
          <w:trHeight w:val="40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4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Disciplinele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socio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</w:p>
          <w:p w:rsidR="00FB7358" w:rsidRDefault="00FB7358" w:rsidP="001044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2.Predarea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centrată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Atelier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lucru</w:t>
            </w:r>
            <w:proofErr w:type="spellEnd"/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4.Parcurs didactic explicit 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VI-a </w:t>
            </w:r>
          </w:p>
          <w:p w:rsidR="0010441A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2.Formarea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competenţei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 clasă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limbi  străine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03-12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V.</w:t>
            </w: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N.</w:t>
            </w: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Godea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L.</w:t>
            </w: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Pr="008A5A33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FB7358" w:rsidRPr="0062706C" w:rsidTr="00F86A47">
        <w:trPr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claselor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primare</w:t>
            </w:r>
            <w:proofErr w:type="spellEnd"/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1.Parcurs didactic explicit la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IV</w:t>
            </w:r>
          </w:p>
          <w:p w:rsidR="00FB7358" w:rsidRDefault="00FB7358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2.Parcurs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didactic explicit  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cl. I</w:t>
            </w:r>
          </w:p>
          <w:p w:rsidR="0010441A" w:rsidRPr="00344130" w:rsidRDefault="0010441A" w:rsidP="001044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.Aprobarea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conţinuturilor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evaluările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anuale</w:t>
            </w:r>
            <w:proofErr w:type="spellEnd"/>
          </w:p>
          <w:p w:rsidR="00FB7358" w:rsidRDefault="0010441A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4.Opinii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cartea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Fărâ</w:t>
            </w: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suflet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 clasă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03-14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Panainte R.</w:t>
            </w: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Popic N.</w:t>
            </w:r>
          </w:p>
        </w:tc>
      </w:tr>
      <w:tr w:rsidR="00FB7358" w:rsidTr="009E3F91">
        <w:trPr>
          <w:trHeight w:val="2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10441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lastRenderedPageBreak/>
              <w:t>6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Comi</w:t>
            </w:r>
            <w:r w:rsidR="0010441A">
              <w:rPr>
                <w:b/>
                <w:sz w:val="28"/>
                <w:szCs w:val="28"/>
                <w:lang w:val="en-US"/>
              </w:rPr>
              <w:t>sia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disciplinile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estetice</w:t>
            </w:r>
            <w:proofErr w:type="spellEnd"/>
          </w:p>
          <w:p w:rsidR="0010441A" w:rsidRPr="00344130" w:rsidRDefault="00FB7358" w:rsidP="0010441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10441A" w:rsidRPr="00344130">
              <w:rPr>
                <w:b/>
                <w:sz w:val="28"/>
                <w:szCs w:val="28"/>
                <w:lang w:val="en-US"/>
              </w:rPr>
              <w:t>1.Atelier</w:t>
            </w:r>
            <w:proofErr w:type="gram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="0010441A" w:rsidRPr="00344130">
              <w:rPr>
                <w:b/>
                <w:sz w:val="28"/>
                <w:szCs w:val="28"/>
                <w:lang w:val="en-US"/>
              </w:rPr>
              <w:t>Interdisciplinarietatea</w:t>
            </w:r>
            <w:proofErr w:type="spell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 w:rsidRPr="00344130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 aria </w:t>
            </w:r>
            <w:proofErr w:type="spellStart"/>
            <w:r w:rsidR="0010441A" w:rsidRPr="00344130">
              <w:rPr>
                <w:b/>
                <w:sz w:val="28"/>
                <w:szCs w:val="28"/>
                <w:lang w:val="en-US"/>
              </w:rPr>
              <w:t>curriculară</w:t>
            </w:r>
            <w:proofErr w:type="spell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 arte.   </w:t>
            </w:r>
          </w:p>
          <w:p w:rsidR="00FB7358" w:rsidRPr="009E3F91" w:rsidRDefault="0010441A" w:rsidP="009E3F91">
            <w:pPr>
              <w:rPr>
                <w:b/>
                <w:sz w:val="28"/>
                <w:szCs w:val="28"/>
                <w:lang w:val="en-US"/>
              </w:rPr>
            </w:pPr>
            <w:r w:rsidRPr="00344130">
              <w:rPr>
                <w:b/>
                <w:sz w:val="28"/>
                <w:szCs w:val="28"/>
                <w:lang w:val="en-US"/>
              </w:rPr>
              <w:t xml:space="preserve">2.Aprobarea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conţinuturilor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evaluările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anuale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 clasă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13 aprilie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Godea  D.</w:t>
            </w: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bookmarkStart w:id="0" w:name="_GoBack"/>
        <w:bookmarkEnd w:id="0"/>
      </w:tr>
      <w:tr w:rsidR="00FB7358" w:rsidRPr="0062706C" w:rsidTr="00F86A47">
        <w:trPr>
          <w:trHeight w:val="3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diriginților</w:t>
            </w:r>
            <w:proofErr w:type="spellEnd"/>
          </w:p>
          <w:p w:rsidR="00F86A47" w:rsidRPr="00344130" w:rsidRDefault="00FB7358" w:rsidP="00F86A4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  <w:t xml:space="preserve"> </w:t>
            </w:r>
            <w:r w:rsidR="00F86A47" w:rsidRPr="00344130">
              <w:rPr>
                <w:b/>
                <w:sz w:val="28"/>
                <w:szCs w:val="28"/>
                <w:lang w:val="en-US"/>
              </w:rPr>
              <w:t>1.</w:t>
            </w:r>
            <w:r w:rsidR="00F86A47" w:rsidRPr="00344130">
              <w:rPr>
                <w:b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="00F86A47" w:rsidRPr="00344130">
              <w:rPr>
                <w:b/>
                <w:sz w:val="28"/>
                <w:szCs w:val="28"/>
                <w:lang w:val="en-US"/>
              </w:rPr>
              <w:t>Calitatea</w:t>
            </w:r>
            <w:proofErr w:type="spellEnd"/>
            <w:r w:rsidR="00F86A47" w:rsidRPr="00344130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F86A47" w:rsidRPr="00344130">
              <w:rPr>
                <w:b/>
                <w:sz w:val="28"/>
                <w:szCs w:val="28"/>
                <w:lang w:val="en-US"/>
              </w:rPr>
              <w:t>completării</w:t>
            </w:r>
            <w:proofErr w:type="spellEnd"/>
            <w:r w:rsidR="00F86A47" w:rsidRPr="00344130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86A47" w:rsidRPr="00344130">
              <w:rPr>
                <w:b/>
                <w:sz w:val="28"/>
                <w:szCs w:val="28"/>
                <w:lang w:val="en-US"/>
              </w:rPr>
              <w:t>ag</w:t>
            </w:r>
            <w:r w:rsidR="00F86A47">
              <w:rPr>
                <w:b/>
                <w:sz w:val="28"/>
                <w:szCs w:val="28"/>
                <w:lang w:val="en-US"/>
              </w:rPr>
              <w:t>endei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elevului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Gimnaziul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C</w:t>
            </w:r>
            <w:r w:rsidR="00F86A47" w:rsidRPr="00344130">
              <w:rPr>
                <w:b/>
                <w:sz w:val="28"/>
                <w:szCs w:val="28"/>
                <w:lang w:val="en-US"/>
              </w:rPr>
              <w:t>amencea</w:t>
            </w:r>
            <w:proofErr w:type="spellEnd"/>
          </w:p>
          <w:p w:rsidR="00FB7358" w:rsidRDefault="00F86A47" w:rsidP="00F86A47">
            <w:pPr>
              <w:rPr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sz w:val="28"/>
                <w:szCs w:val="28"/>
                <w:lang w:val="en-US"/>
              </w:rPr>
              <w:t>2.</w:t>
            </w:r>
            <w:r w:rsidRPr="00344130">
              <w:rPr>
                <w:b/>
                <w:sz w:val="28"/>
                <w:szCs w:val="28"/>
                <w:lang w:val="en-US"/>
              </w:rPr>
              <w:t>Un</w:t>
            </w:r>
            <w:proofErr w:type="gram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arbore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dăinuirea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noastră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>”-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Ziua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Naţională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Înverzire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Plaiului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Bilunarul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ecologic</w:t>
            </w:r>
            <w:r w:rsidRPr="00344130">
              <w:rPr>
                <w:b/>
                <w:sz w:val="28"/>
                <w:szCs w:val="28"/>
                <w:lang w:val="en-US"/>
              </w:rPr>
              <w:tab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28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Diriginții</w:t>
            </w:r>
          </w:p>
        </w:tc>
      </w:tr>
    </w:tbl>
    <w:p w:rsidR="00FB7358" w:rsidRDefault="00FB7358" w:rsidP="00FB7358">
      <w:pPr>
        <w:widowControl w:val="0"/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Absenteismului şcolar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1"/>
        <w:gridCol w:w="4880"/>
        <w:gridCol w:w="1724"/>
        <w:gridCol w:w="1445"/>
        <w:gridCol w:w="2051"/>
      </w:tblGrid>
      <w:tr w:rsidR="00FB7358" w:rsidTr="00456F69">
        <w:trPr>
          <w:trHeight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Monitorizarea activităţii de prevenire a abandonului şcolar şi absenteismului.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Gimnaziul Camencea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Echipa managerială</w:t>
            </w:r>
          </w:p>
        </w:tc>
      </w:tr>
      <w:tr w:rsidR="00FB7358" w:rsidTr="00456F69">
        <w:trPr>
          <w:trHeight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Profilaxia  cazurilor de  neglijare  -</w:t>
            </w:r>
            <w:r w:rsidR="00F86A4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 întîlnire  cu   asistentul 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cia</w:t>
            </w:r>
            <w:r w:rsidR="00F86A4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Gimnaziul Camencea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Echipa  managerială 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Activități extrașcolare</w:t>
      </w:r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operaţional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pontenţialului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cultural,estetic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artistic,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comunităţii</w:t>
      </w:r>
      <w:proofErr w:type="spellEnd"/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performanţă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tuturora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menţine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patrimonial  cultural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artistic.</w:t>
      </w:r>
    </w:p>
    <w:tbl>
      <w:tblPr>
        <w:tblStyle w:val="a4"/>
        <w:tblW w:w="9745" w:type="dxa"/>
        <w:tblLook w:val="04A0"/>
      </w:tblPr>
      <w:tblGrid>
        <w:gridCol w:w="477"/>
        <w:gridCol w:w="4490"/>
        <w:gridCol w:w="1662"/>
        <w:gridCol w:w="1418"/>
        <w:gridCol w:w="1698"/>
      </w:tblGrid>
      <w:tr w:rsidR="00FB7358" w:rsidRPr="00EF382B" w:rsidTr="00456F69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86A47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1.</w:t>
            </w:r>
            <w:r w:rsidRPr="003563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Concursul cîntecului pascal</w:t>
            </w:r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</w:t>
            </w:r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Totul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despre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muzică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concurs de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intelegen</w:t>
            </w:r>
            <w:r w:rsidRPr="00F86A4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ţ</w:t>
            </w:r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86A47" w:rsidRPr="00F86A47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„Tinerii de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azi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cercetează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istoria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ieri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ediţia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 VII-a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orhei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</w:t>
            </w:r>
            <w:r w:rsidR="009E3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PopicN.</w:t>
            </w: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PopicN.</w:t>
            </w: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</w:tc>
      </w:tr>
      <w:tr w:rsidR="00FB7358" w:rsidTr="00456F69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Consiliul  Elevilor </w:t>
            </w:r>
          </w:p>
          <w:p w:rsidR="00FB7358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1.Editarea  </w:t>
            </w:r>
            <w:r w:rsidR="00FB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celui de-al doilea  număr  al revistei școlare</w:t>
            </w:r>
          </w:p>
          <w:p w:rsidR="00FB7358" w:rsidRP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2.</w:t>
            </w:r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Acţiune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ecologică”Noi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un sat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curat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Cab. De istorie</w:t>
            </w:r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04-07aprilie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  Nelea</w:t>
            </w:r>
          </w:p>
        </w:tc>
      </w:tr>
      <w:tr w:rsidR="00FB7358" w:rsidTr="00456F69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lastRenderedPageBreak/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Amenajarea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muzeului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cu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exponate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parteneriat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cu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biserica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Etajul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03-12 aprilie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</w:t>
      </w: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Parteneriatul cu părinții</w:t>
      </w:r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Obiective  operaționale :Stabilirea unui parteneriat  eficient între  școală  și   familie;Implicarea  părinților în  proce</w:t>
      </w:r>
      <w:r w:rsidR="009E3F9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sul  decizional  al instituției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;Pedagogizarea  părinților ;Informarea  părinților  despre progresul  educațional  al  elevilor</w:t>
      </w:r>
    </w:p>
    <w:tbl>
      <w:tblPr>
        <w:tblStyle w:val="a4"/>
        <w:tblW w:w="9862" w:type="dxa"/>
        <w:tblLook w:val="04A0"/>
      </w:tblPr>
      <w:tblGrid>
        <w:gridCol w:w="467"/>
        <w:gridCol w:w="4249"/>
        <w:gridCol w:w="1865"/>
        <w:gridCol w:w="1480"/>
        <w:gridCol w:w="1801"/>
      </w:tblGrid>
      <w:tr w:rsidR="00FB7358" w:rsidRPr="00FB7358" w:rsidTr="009E3F91">
        <w:trPr>
          <w:trHeight w:val="58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Consiliul Reprezentativ al Părinților nr.4</w:t>
            </w:r>
            <w:r w:rsidRPr="00FB73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1.Asigurarea unui climat favorabil dezvoltării creativității copilului în familie  și școală;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2.Colaborarea școală-familie – o atitudine unitară în educație;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3.Părinți,profesori și elevi în fața catalogului școlar la final de an școlar;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4.Realizarea planului de activitate al CRP.Propuneri pentru noul an școlar.</w:t>
            </w: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Cab.l.română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26</w:t>
            </w:r>
            <w:r w:rsidR="00FB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Echipa managerială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Panainte R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Buzu V.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Buzenco E.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Godea L.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 N.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Tulbure N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</w:t>
      </w: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191BAB" w:rsidRPr="00FB7358" w:rsidRDefault="00191BAB">
      <w:pPr>
        <w:rPr>
          <w:lang w:val="en-US"/>
        </w:rPr>
      </w:pPr>
    </w:p>
    <w:sectPr w:rsidR="00191BAB" w:rsidRPr="00FB7358" w:rsidSect="003563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37F2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358"/>
    <w:rsid w:val="0010441A"/>
    <w:rsid w:val="00191BAB"/>
    <w:rsid w:val="0035639E"/>
    <w:rsid w:val="00463F9F"/>
    <w:rsid w:val="009E3F91"/>
    <w:rsid w:val="00D170E1"/>
    <w:rsid w:val="00D43AF2"/>
    <w:rsid w:val="00F86A47"/>
    <w:rsid w:val="00FB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5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1033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SmartStudio</cp:lastModifiedBy>
  <cp:revision>2</cp:revision>
  <cp:lastPrinted>2017-04-03T06:13:00Z</cp:lastPrinted>
  <dcterms:created xsi:type="dcterms:W3CDTF">2017-04-05T07:25:00Z</dcterms:created>
  <dcterms:modified xsi:type="dcterms:W3CDTF">2017-04-05T07:25:00Z</dcterms:modified>
</cp:coreProperties>
</file>